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55850" w14:textId="77777777" w:rsidR="00522F90" w:rsidRPr="00522F90" w:rsidRDefault="00522F90" w:rsidP="00D77A29">
      <w:pPr>
        <w:jc w:val="center"/>
        <w:rPr>
          <w:b/>
          <w:bCs/>
          <w:sz w:val="32"/>
          <w:szCs w:val="28"/>
        </w:rPr>
      </w:pPr>
    </w:p>
    <w:p w14:paraId="03211D21" w14:textId="66E49AD9" w:rsidR="00522F90" w:rsidRPr="00522F90" w:rsidRDefault="00522F90" w:rsidP="00D77A29">
      <w:pPr>
        <w:jc w:val="center"/>
        <w:rPr>
          <w:b/>
          <w:sz w:val="28"/>
          <w:lang w:val="en"/>
        </w:rPr>
      </w:pPr>
      <w:r w:rsidRPr="00522F90">
        <w:rPr>
          <w:b/>
          <w:sz w:val="28"/>
          <w:lang w:val="en"/>
        </w:rPr>
        <w:t>Primary Angle Closure Suspects</w:t>
      </w:r>
      <w:r w:rsidRPr="00522F90">
        <w:rPr>
          <w:b/>
          <w:sz w:val="28"/>
          <w:lang w:val="en"/>
        </w:rPr>
        <w:t xml:space="preserve"> Referral Guidance</w:t>
      </w:r>
    </w:p>
    <w:p w14:paraId="1B6E05E3" w14:textId="77777777" w:rsidR="00522F90" w:rsidRDefault="00522F90" w:rsidP="00D77A29">
      <w:pPr>
        <w:jc w:val="center"/>
        <w:rPr>
          <w:b/>
          <w:bCs/>
          <w:sz w:val="28"/>
          <w:szCs w:val="28"/>
        </w:rPr>
      </w:pPr>
    </w:p>
    <w:p w14:paraId="07FF16E4" w14:textId="601DE7D7" w:rsidR="00D77A29" w:rsidRPr="00D77A29" w:rsidRDefault="00D77A29">
      <w:pPr>
        <w:rPr>
          <w:b/>
          <w:bCs/>
          <w:sz w:val="14"/>
          <w:szCs w:val="14"/>
        </w:rPr>
      </w:pPr>
    </w:p>
    <w:tbl>
      <w:tblPr>
        <w:tblStyle w:val="TableGrid"/>
        <w:tblW w:w="0" w:type="auto"/>
        <w:tblLook w:val="04A0" w:firstRow="1" w:lastRow="0" w:firstColumn="1" w:lastColumn="0" w:noHBand="0" w:noVBand="1"/>
      </w:tblPr>
      <w:tblGrid>
        <w:gridCol w:w="1101"/>
        <w:gridCol w:w="8141"/>
      </w:tblGrid>
      <w:tr w:rsidR="00D77A29" w:rsidRPr="00D77A29" w14:paraId="59EB0C0F" w14:textId="77777777" w:rsidTr="00D77A29">
        <w:tc>
          <w:tcPr>
            <w:tcW w:w="1101" w:type="dxa"/>
          </w:tcPr>
          <w:p w14:paraId="35D0A811" w14:textId="04A93CD5" w:rsidR="00D77A29" w:rsidRPr="00D77A29" w:rsidRDefault="00D77A29" w:rsidP="00D77A29">
            <w:pPr>
              <w:spacing w:before="40" w:after="40"/>
              <w:rPr>
                <w:b/>
                <w:bCs/>
              </w:rPr>
            </w:pPr>
            <w:r w:rsidRPr="00D77A29">
              <w:rPr>
                <w:b/>
                <w:bCs/>
              </w:rPr>
              <w:t>To</w:t>
            </w:r>
          </w:p>
        </w:tc>
        <w:tc>
          <w:tcPr>
            <w:tcW w:w="8141" w:type="dxa"/>
          </w:tcPr>
          <w:p w14:paraId="20CC5524" w14:textId="6EA403FF" w:rsidR="00D77A29" w:rsidRPr="00D77A29" w:rsidRDefault="00D77A29" w:rsidP="00D77A29">
            <w:pPr>
              <w:spacing w:before="40" w:after="40"/>
            </w:pPr>
            <w:r>
              <w:t>All community optometrists in the Norfolk &amp; Waveney Area</w:t>
            </w:r>
          </w:p>
        </w:tc>
      </w:tr>
      <w:tr w:rsidR="00D77A29" w:rsidRPr="00D77A29" w14:paraId="31666D75" w14:textId="77777777" w:rsidTr="00D77A29">
        <w:tc>
          <w:tcPr>
            <w:tcW w:w="1101" w:type="dxa"/>
          </w:tcPr>
          <w:p w14:paraId="293A8E51" w14:textId="5508CED0" w:rsidR="00D77A29" w:rsidRPr="00D77A29" w:rsidRDefault="00D77A29" w:rsidP="00D77A29">
            <w:pPr>
              <w:spacing w:before="40" w:after="40"/>
              <w:rPr>
                <w:b/>
                <w:bCs/>
              </w:rPr>
            </w:pPr>
            <w:r w:rsidRPr="00D77A29">
              <w:rPr>
                <w:b/>
                <w:bCs/>
              </w:rPr>
              <w:t>From</w:t>
            </w:r>
          </w:p>
        </w:tc>
        <w:tc>
          <w:tcPr>
            <w:tcW w:w="8141" w:type="dxa"/>
          </w:tcPr>
          <w:p w14:paraId="46727E5C" w14:textId="37F6F2DF" w:rsidR="00D77A29" w:rsidRPr="00D77A29" w:rsidRDefault="00D77A29" w:rsidP="00D77A29">
            <w:pPr>
              <w:spacing w:before="40" w:after="40"/>
            </w:pPr>
            <w:r>
              <w:t>NNUH, JPH, QEH</w:t>
            </w:r>
          </w:p>
        </w:tc>
      </w:tr>
      <w:tr w:rsidR="00D77A29" w:rsidRPr="00D77A29" w14:paraId="6E542D43" w14:textId="77777777" w:rsidTr="00D77A29">
        <w:tc>
          <w:tcPr>
            <w:tcW w:w="1101" w:type="dxa"/>
          </w:tcPr>
          <w:p w14:paraId="4181F9C5" w14:textId="1E6A8D5E" w:rsidR="00D77A29" w:rsidRPr="00D77A29" w:rsidRDefault="00D77A29" w:rsidP="00D77A29">
            <w:pPr>
              <w:spacing w:before="40" w:after="40"/>
              <w:rPr>
                <w:b/>
                <w:bCs/>
              </w:rPr>
            </w:pPr>
            <w:r w:rsidRPr="00D77A29">
              <w:rPr>
                <w:b/>
                <w:bCs/>
              </w:rPr>
              <w:t>Date</w:t>
            </w:r>
          </w:p>
        </w:tc>
        <w:tc>
          <w:tcPr>
            <w:tcW w:w="8141" w:type="dxa"/>
          </w:tcPr>
          <w:p w14:paraId="3257D35C" w14:textId="463542D1" w:rsidR="00D77A29" w:rsidRPr="00D77A29" w:rsidRDefault="00D77A29" w:rsidP="00D77A29">
            <w:pPr>
              <w:spacing w:before="40" w:after="40"/>
            </w:pPr>
            <w:r>
              <w:t>04/08/2022</w:t>
            </w:r>
          </w:p>
        </w:tc>
      </w:tr>
      <w:tr w:rsidR="00D77A29" w:rsidRPr="00D77A29" w14:paraId="34B5A84F" w14:textId="77777777" w:rsidTr="00D77A29">
        <w:tc>
          <w:tcPr>
            <w:tcW w:w="1101" w:type="dxa"/>
          </w:tcPr>
          <w:p w14:paraId="2E595010" w14:textId="7468031C" w:rsidR="00D77A29" w:rsidRPr="00D77A29" w:rsidRDefault="00D77A29" w:rsidP="00D77A29">
            <w:pPr>
              <w:spacing w:before="40" w:after="40"/>
              <w:rPr>
                <w:b/>
                <w:bCs/>
              </w:rPr>
            </w:pPr>
            <w:r w:rsidRPr="00D77A29">
              <w:rPr>
                <w:b/>
                <w:bCs/>
              </w:rPr>
              <w:t>Topic</w:t>
            </w:r>
          </w:p>
        </w:tc>
        <w:tc>
          <w:tcPr>
            <w:tcW w:w="8141" w:type="dxa"/>
          </w:tcPr>
          <w:p w14:paraId="33613EDE" w14:textId="6678E864" w:rsidR="00D77A29" w:rsidRPr="00D77A29" w:rsidRDefault="00D77A29" w:rsidP="00D77A29">
            <w:pPr>
              <w:spacing w:before="40" w:after="40"/>
            </w:pPr>
            <w:r>
              <w:t xml:space="preserve">Changes to the management of certain patients with narrow anterior chamber angles &amp; the consequences for </w:t>
            </w:r>
            <w:r w:rsidR="005803EB">
              <w:t xml:space="preserve">local </w:t>
            </w:r>
            <w:r>
              <w:t>referral guidance</w:t>
            </w:r>
          </w:p>
        </w:tc>
      </w:tr>
    </w:tbl>
    <w:p w14:paraId="50BF9ED1" w14:textId="05B8C30F" w:rsidR="008E3D28" w:rsidRDefault="008E3D28"/>
    <w:p w14:paraId="6A9E1AA5" w14:textId="77777777" w:rsidR="00D77A29" w:rsidRDefault="00D77A29" w:rsidP="00FC7616">
      <w:pPr>
        <w:spacing w:line="276" w:lineRule="auto"/>
      </w:pPr>
      <w:r>
        <w:t>The following is an extract from the document:</w:t>
      </w:r>
    </w:p>
    <w:p w14:paraId="1C1FBE2A" w14:textId="4E711990" w:rsidR="00D77A29" w:rsidRDefault="00D77A29" w:rsidP="00FC7616">
      <w:pPr>
        <w:spacing w:line="276" w:lineRule="auto"/>
      </w:pPr>
      <w:r>
        <w:t>NNUH Referral Guidance for Community Optometrists version 18 (July 2022)</w:t>
      </w:r>
    </w:p>
    <w:p w14:paraId="0A822020" w14:textId="77777777" w:rsidR="00D77A29" w:rsidRDefault="00D77A29" w:rsidP="00FC7616">
      <w:pPr>
        <w:spacing w:line="276" w:lineRule="auto"/>
      </w:pPr>
    </w:p>
    <w:p w14:paraId="0DD69028" w14:textId="77777777" w:rsidR="008E3D28" w:rsidRPr="00692F36" w:rsidRDefault="008E3D28" w:rsidP="00FC7616">
      <w:pPr>
        <w:spacing w:line="276" w:lineRule="auto"/>
        <w:rPr>
          <w:u w:val="single"/>
          <w:lang w:val="en"/>
        </w:rPr>
      </w:pPr>
      <w:r w:rsidRPr="00FC7616">
        <w:rPr>
          <w:b/>
          <w:u w:val="single"/>
          <w:lang w:val="en"/>
        </w:rPr>
        <w:t>Primary Angle Closure Suspects</w:t>
      </w:r>
      <w:r w:rsidRPr="00692F36">
        <w:rPr>
          <w:lang w:val="en"/>
        </w:rPr>
        <w:t xml:space="preserve"> (formerly ‘Narrow Anterior Chamber Angles’)</w:t>
      </w:r>
    </w:p>
    <w:p w14:paraId="7B65133D" w14:textId="4A96DEAA" w:rsidR="008E3D28" w:rsidRPr="00692F36" w:rsidRDefault="008E3D28" w:rsidP="00FC7616">
      <w:pPr>
        <w:spacing w:line="276" w:lineRule="auto"/>
        <w:rPr>
          <w:lang w:val="en"/>
        </w:rPr>
      </w:pPr>
      <w:r w:rsidRPr="00692F36">
        <w:rPr>
          <w:lang w:val="en"/>
        </w:rPr>
        <w:t>The Royal College of Ophthalmologists issued new guidance on the management of patients with narrow anterior chamber angles in June 2022</w:t>
      </w:r>
      <w:r w:rsidRPr="00692F36">
        <w:rPr>
          <w:vertAlign w:val="superscript"/>
          <w:lang w:val="en"/>
        </w:rPr>
        <w:t>1</w:t>
      </w:r>
      <w:r w:rsidRPr="00692F36">
        <w:rPr>
          <w:lang w:val="en"/>
        </w:rPr>
        <w:t xml:space="preserve">. </w:t>
      </w:r>
    </w:p>
    <w:p w14:paraId="6F9FFAA7" w14:textId="77777777" w:rsidR="008E3D28" w:rsidRPr="00692F36" w:rsidRDefault="008E3D28" w:rsidP="00FC7616">
      <w:pPr>
        <w:spacing w:line="276" w:lineRule="auto"/>
        <w:rPr>
          <w:lang w:val="en"/>
        </w:rPr>
      </w:pPr>
    </w:p>
    <w:p w14:paraId="675FBD4B" w14:textId="583407CD" w:rsidR="008E3D28" w:rsidRPr="00692F36" w:rsidRDefault="008E3D28" w:rsidP="00FC7616">
      <w:pPr>
        <w:spacing w:line="360" w:lineRule="auto"/>
        <w:rPr>
          <w:lang w:val="en"/>
        </w:rPr>
      </w:pPr>
      <w:r w:rsidRPr="00692F36">
        <w:rPr>
          <w:lang w:val="en"/>
        </w:rPr>
        <w:t>In response, the College of Optometrists have revised their Clinical Management Guidelines accordingly</w:t>
      </w:r>
      <w:r>
        <w:rPr>
          <w:vertAlign w:val="superscript"/>
          <w:lang w:val="en"/>
        </w:rPr>
        <w:t>2</w:t>
      </w:r>
      <w:r w:rsidRPr="00692F36">
        <w:rPr>
          <w:lang w:val="en"/>
        </w:rPr>
        <w:t xml:space="preserve">. Eyes are classified as ‘Primary Angle Closure Suspect’ (PACS) if they have a limbal AC depth less than 25% of limbal corneal thickness (or ITC confirmed on anterior segment OCT) but NO elevation of IOP. If elevated IOP is present (or PAS have been seen), the eye is classified as ‘Primary Angle Closure’ and should be referred. </w:t>
      </w:r>
    </w:p>
    <w:p w14:paraId="5EEDE459" w14:textId="77777777" w:rsidR="008E3D28" w:rsidRPr="00692F36" w:rsidRDefault="008E3D28" w:rsidP="00FC7616">
      <w:pPr>
        <w:spacing w:line="276" w:lineRule="auto"/>
        <w:rPr>
          <w:lang w:val="en"/>
        </w:rPr>
      </w:pPr>
    </w:p>
    <w:p w14:paraId="675E1F11" w14:textId="537DE4AB" w:rsidR="008E3D28" w:rsidRDefault="008E3D28" w:rsidP="00FC7616">
      <w:pPr>
        <w:spacing w:line="276" w:lineRule="auto"/>
        <w:rPr>
          <w:lang w:val="en"/>
        </w:rPr>
      </w:pPr>
      <w:r w:rsidRPr="00692F36">
        <w:rPr>
          <w:lang w:val="en"/>
        </w:rPr>
        <w:t xml:space="preserve">Eyes with PACS should now only be referred to an ophthalmologist if at least one of the ‘PLUS’ factors in Table </w:t>
      </w:r>
      <w:r>
        <w:rPr>
          <w:lang w:val="en"/>
        </w:rPr>
        <w:t>1</w:t>
      </w:r>
      <w:r w:rsidRPr="00692F36">
        <w:rPr>
          <w:lang w:val="en"/>
        </w:rPr>
        <w:t xml:space="preserve"> below apply. Such eyes are described as having ‘PACS-PLUS’ status.</w:t>
      </w:r>
    </w:p>
    <w:p w14:paraId="76771771" w14:textId="77777777" w:rsidR="00FC7616" w:rsidRDefault="00FC7616" w:rsidP="00FC7616">
      <w:pPr>
        <w:spacing w:line="276" w:lineRule="auto"/>
        <w:rPr>
          <w:lang w:val="en"/>
        </w:rPr>
      </w:pPr>
    </w:p>
    <w:p w14:paraId="3E575F23" w14:textId="38E9A54C" w:rsidR="00FC7616" w:rsidRPr="00692F36" w:rsidRDefault="00FC7616" w:rsidP="00FC7616">
      <w:pPr>
        <w:spacing w:line="276" w:lineRule="auto"/>
        <w:rPr>
          <w:lang w:val="en"/>
        </w:rPr>
      </w:pPr>
      <w:r w:rsidRPr="00692F36">
        <w:rPr>
          <w:lang w:val="en"/>
        </w:rPr>
        <w:t>Referrals for eyes meeting the criteria for PACS but with neither ‘plus’ factors nor symptoms will be rejected back to the community optometrist for annual monitoring.</w:t>
      </w:r>
    </w:p>
    <w:p w14:paraId="054CCE2C" w14:textId="77777777" w:rsidR="008E3D28" w:rsidRPr="00692F36" w:rsidRDefault="008E3D28" w:rsidP="008E3D28">
      <w:pPr>
        <w:rPr>
          <w:lang w:val="en"/>
        </w:rPr>
      </w:pPr>
    </w:p>
    <w:p w14:paraId="6E8E2940" w14:textId="47C0F9E3" w:rsidR="008E3D28" w:rsidRPr="00692F36" w:rsidRDefault="008E3D28" w:rsidP="008E3D28">
      <w:pPr>
        <w:spacing w:after="120"/>
        <w:rPr>
          <w:lang w:val="en"/>
        </w:rPr>
      </w:pPr>
      <w:r w:rsidRPr="00692F36">
        <w:rPr>
          <w:b/>
          <w:bCs/>
          <w:lang w:val="en"/>
        </w:rPr>
        <w:t xml:space="preserve">Table </w:t>
      </w:r>
      <w:r>
        <w:rPr>
          <w:b/>
          <w:bCs/>
          <w:lang w:val="en"/>
        </w:rPr>
        <w:t>1</w:t>
      </w:r>
      <w:r w:rsidRPr="00692F36">
        <w:rPr>
          <w:b/>
          <w:bCs/>
          <w:lang w:val="en"/>
        </w:rPr>
        <w:t>. ‘PLUS’ factors which should trigger referral for cases of PACS</w:t>
      </w:r>
      <w:r w:rsidRPr="00692F36">
        <w:rPr>
          <w:b/>
          <w:bCs/>
          <w:vertAlign w:val="superscript"/>
          <w:lang w:val="en"/>
        </w:rPr>
        <w:t>1</w:t>
      </w:r>
      <w:r>
        <w:rPr>
          <w:b/>
          <w:bCs/>
          <w:vertAlign w:val="superscript"/>
          <w:lang w:val="en"/>
        </w:rPr>
        <w:t>,2</w:t>
      </w:r>
    </w:p>
    <w:tbl>
      <w:tblPr>
        <w:tblStyle w:val="TableGrid"/>
        <w:tblW w:w="0" w:type="auto"/>
        <w:tblLook w:val="04A0" w:firstRow="1" w:lastRow="0" w:firstColumn="1" w:lastColumn="0" w:noHBand="0" w:noVBand="1"/>
      </w:tblPr>
      <w:tblGrid>
        <w:gridCol w:w="4621"/>
        <w:gridCol w:w="4621"/>
      </w:tblGrid>
      <w:tr w:rsidR="008E3D28" w:rsidRPr="00692F36" w14:paraId="0A02DDD3" w14:textId="77777777" w:rsidTr="00CC08DE">
        <w:tc>
          <w:tcPr>
            <w:tcW w:w="4621" w:type="dxa"/>
          </w:tcPr>
          <w:p w14:paraId="5ED17016" w14:textId="77777777" w:rsidR="008E3D28" w:rsidRPr="00692F36" w:rsidRDefault="008E3D28" w:rsidP="00FC7616">
            <w:pPr>
              <w:numPr>
                <w:ilvl w:val="0"/>
                <w:numId w:val="1"/>
              </w:numPr>
              <w:shd w:val="clear" w:color="auto" w:fill="FFFFFF"/>
              <w:tabs>
                <w:tab w:val="clear" w:pos="720"/>
              </w:tabs>
              <w:spacing w:before="100" w:beforeAutospacing="1" w:after="100" w:afterAutospacing="1" w:line="276" w:lineRule="auto"/>
              <w:ind w:left="284" w:hanging="284"/>
              <w:rPr>
                <w:rFonts w:cs="Arial"/>
              </w:rPr>
            </w:pPr>
            <w:r w:rsidRPr="00692F36">
              <w:rPr>
                <w:rFonts w:cs="Arial"/>
              </w:rPr>
              <w:t>people with only one ‘good’ eye </w:t>
            </w:r>
          </w:p>
          <w:p w14:paraId="23C5F54E" w14:textId="77777777" w:rsidR="008E3D28" w:rsidRPr="00692F36" w:rsidRDefault="008E3D28" w:rsidP="00FC7616">
            <w:pPr>
              <w:numPr>
                <w:ilvl w:val="0"/>
                <w:numId w:val="1"/>
              </w:numPr>
              <w:shd w:val="clear" w:color="auto" w:fill="FFFFFF"/>
              <w:tabs>
                <w:tab w:val="clear" w:pos="720"/>
              </w:tabs>
              <w:spacing w:before="100" w:beforeAutospacing="1" w:after="100" w:afterAutospacing="1" w:line="276" w:lineRule="auto"/>
              <w:ind w:left="284" w:hanging="284"/>
              <w:rPr>
                <w:rFonts w:cs="Arial"/>
              </w:rPr>
            </w:pPr>
            <w:r w:rsidRPr="00692F36">
              <w:rPr>
                <w:rFonts w:cs="Arial"/>
              </w:rPr>
              <w:t>vulnerable adults who may not report ocular or vision symptoms</w:t>
            </w:r>
          </w:p>
          <w:p w14:paraId="7C6067BB" w14:textId="77777777" w:rsidR="008E3D28" w:rsidRPr="00692F36" w:rsidRDefault="008E3D28" w:rsidP="00FC7616">
            <w:pPr>
              <w:numPr>
                <w:ilvl w:val="0"/>
                <w:numId w:val="1"/>
              </w:numPr>
              <w:shd w:val="clear" w:color="auto" w:fill="FFFFFF"/>
              <w:tabs>
                <w:tab w:val="clear" w:pos="720"/>
              </w:tabs>
              <w:spacing w:before="100" w:beforeAutospacing="1" w:after="100" w:afterAutospacing="1" w:line="276" w:lineRule="auto"/>
              <w:ind w:left="284" w:hanging="284"/>
              <w:rPr>
                <w:rFonts w:cs="Arial"/>
              </w:rPr>
            </w:pPr>
            <w:r w:rsidRPr="00692F36">
              <w:rPr>
                <w:rFonts w:cs="Arial"/>
              </w:rPr>
              <w:t>family history of significant angle closure disease</w:t>
            </w:r>
          </w:p>
          <w:p w14:paraId="19786C31" w14:textId="77777777" w:rsidR="008E3D28" w:rsidRPr="00692F36" w:rsidRDefault="008E3D28" w:rsidP="00FC7616">
            <w:pPr>
              <w:numPr>
                <w:ilvl w:val="0"/>
                <w:numId w:val="1"/>
              </w:numPr>
              <w:shd w:val="clear" w:color="auto" w:fill="FFFFFF"/>
              <w:tabs>
                <w:tab w:val="clear" w:pos="720"/>
              </w:tabs>
              <w:spacing w:before="100" w:beforeAutospacing="1" w:after="100" w:afterAutospacing="1" w:line="276" w:lineRule="auto"/>
              <w:ind w:left="284" w:hanging="284"/>
              <w:rPr>
                <w:rFonts w:cs="Arial"/>
              </w:rPr>
            </w:pPr>
            <w:r w:rsidRPr="00692F36">
              <w:rPr>
                <w:rFonts w:cs="Arial"/>
              </w:rPr>
              <w:t>high hypermetropia (&gt; +6.00 dioptres)</w:t>
            </w:r>
          </w:p>
          <w:p w14:paraId="3BDB65FF" w14:textId="77777777" w:rsidR="008E3D28" w:rsidRPr="00692F36" w:rsidRDefault="008E3D28" w:rsidP="00FC7616">
            <w:pPr>
              <w:numPr>
                <w:ilvl w:val="0"/>
                <w:numId w:val="1"/>
              </w:numPr>
              <w:shd w:val="clear" w:color="auto" w:fill="FFFFFF"/>
              <w:tabs>
                <w:tab w:val="clear" w:pos="720"/>
              </w:tabs>
              <w:spacing w:before="100" w:beforeAutospacing="1" w:after="100" w:afterAutospacing="1" w:line="276" w:lineRule="auto"/>
              <w:ind w:left="284" w:hanging="284"/>
              <w:rPr>
                <w:rFonts w:cs="Arial"/>
              </w:rPr>
            </w:pPr>
            <w:r w:rsidRPr="00692F36">
              <w:rPr>
                <w:rFonts w:cs="Arial"/>
              </w:rPr>
              <w:t>diabetes or another condition necessitating regular pupil dilation</w:t>
            </w:r>
          </w:p>
        </w:tc>
        <w:tc>
          <w:tcPr>
            <w:tcW w:w="4621" w:type="dxa"/>
          </w:tcPr>
          <w:p w14:paraId="6AE4CB70" w14:textId="77777777" w:rsidR="008E3D28" w:rsidRPr="00692F36" w:rsidRDefault="008E3D28" w:rsidP="00FC7616">
            <w:pPr>
              <w:numPr>
                <w:ilvl w:val="0"/>
                <w:numId w:val="1"/>
              </w:numPr>
              <w:shd w:val="clear" w:color="auto" w:fill="FFFFFF"/>
              <w:tabs>
                <w:tab w:val="clear" w:pos="720"/>
              </w:tabs>
              <w:spacing w:before="100" w:beforeAutospacing="1" w:after="100" w:afterAutospacing="1" w:line="276" w:lineRule="auto"/>
              <w:ind w:left="201" w:hanging="201"/>
              <w:rPr>
                <w:rFonts w:cs="Arial"/>
              </w:rPr>
            </w:pPr>
            <w:r w:rsidRPr="00692F36">
              <w:rPr>
                <w:rFonts w:cs="Arial"/>
              </w:rPr>
              <w:t>those using antidepressants or medication with an anticholinergic action (see </w:t>
            </w:r>
            <w:hyperlink r:id="rId6" w:history="1">
              <w:r w:rsidRPr="00692F36">
                <w:rPr>
                  <w:rStyle w:val="Hyperlink"/>
                  <w:rFonts w:cs="Arial"/>
                </w:rPr>
                <w:t>http://www.acbcalc.com/</w:t>
              </w:r>
            </w:hyperlink>
            <w:r w:rsidRPr="00692F36">
              <w:rPr>
                <w:rFonts w:cs="Arial"/>
              </w:rPr>
              <w:t> for details of drugs with anticholinergic properties)</w:t>
            </w:r>
          </w:p>
          <w:p w14:paraId="665D85CA" w14:textId="77777777" w:rsidR="008E3D28" w:rsidRPr="00692F36" w:rsidRDefault="008E3D28" w:rsidP="00FC7616">
            <w:pPr>
              <w:numPr>
                <w:ilvl w:val="0"/>
                <w:numId w:val="1"/>
              </w:numPr>
              <w:shd w:val="clear" w:color="auto" w:fill="FFFFFF"/>
              <w:tabs>
                <w:tab w:val="clear" w:pos="720"/>
              </w:tabs>
              <w:spacing w:before="100" w:beforeAutospacing="1" w:line="276" w:lineRule="auto"/>
              <w:ind w:left="201" w:hanging="201"/>
              <w:rPr>
                <w:rFonts w:cs="Arial"/>
              </w:rPr>
            </w:pPr>
            <w:r w:rsidRPr="00692F36">
              <w:rPr>
                <w:rFonts w:cs="Arial"/>
              </w:rPr>
              <w:t>people living in remote locations where rapid access to emergency ophthalmic care is not possible.</w:t>
            </w:r>
          </w:p>
          <w:p w14:paraId="2CE28B33" w14:textId="77777777" w:rsidR="008E3D28" w:rsidRPr="00692F36" w:rsidRDefault="008E3D28" w:rsidP="00FC7616">
            <w:pPr>
              <w:spacing w:line="276" w:lineRule="auto"/>
              <w:ind w:left="201" w:hanging="201"/>
              <w:rPr>
                <w:lang w:val="en"/>
              </w:rPr>
            </w:pPr>
          </w:p>
        </w:tc>
      </w:tr>
    </w:tbl>
    <w:p w14:paraId="2B04A745" w14:textId="77777777" w:rsidR="008E3D28" w:rsidRPr="00692F36" w:rsidRDefault="008E3D28" w:rsidP="008E3D28">
      <w:pPr>
        <w:rPr>
          <w:u w:val="single"/>
          <w:lang w:val="en"/>
        </w:rPr>
      </w:pPr>
    </w:p>
    <w:p w14:paraId="180148EF" w14:textId="7F0EEFCE" w:rsidR="00D77A29" w:rsidRDefault="008E3D28" w:rsidP="00FC7616">
      <w:pPr>
        <w:spacing w:line="276" w:lineRule="auto"/>
        <w:rPr>
          <w:b/>
          <w:bCs/>
        </w:rPr>
      </w:pPr>
      <w:r w:rsidRPr="00692F36">
        <w:rPr>
          <w:b/>
          <w:bCs/>
          <w:lang w:val="en"/>
        </w:rPr>
        <w:t xml:space="preserve">Important: </w:t>
      </w:r>
      <w:r w:rsidR="00014B20">
        <w:rPr>
          <w:b/>
          <w:bCs/>
          <w:lang w:val="en"/>
        </w:rPr>
        <w:t xml:space="preserve">As a local variation to the </w:t>
      </w:r>
      <w:proofErr w:type="spellStart"/>
      <w:r w:rsidR="00014B20">
        <w:rPr>
          <w:b/>
          <w:bCs/>
          <w:lang w:val="en"/>
        </w:rPr>
        <w:t>RCOphth</w:t>
      </w:r>
      <w:proofErr w:type="spellEnd"/>
      <w:r w:rsidR="00014B20">
        <w:rPr>
          <w:b/>
          <w:bCs/>
          <w:lang w:val="en"/>
        </w:rPr>
        <w:t xml:space="preserve"> guidance, NNUH, JPH &amp; QEH </w:t>
      </w:r>
      <w:r w:rsidR="00014B20">
        <w:rPr>
          <w:b/>
          <w:bCs/>
          <w:u w:val="single"/>
          <w:lang w:val="en"/>
        </w:rPr>
        <w:t>will also accept</w:t>
      </w:r>
      <w:r w:rsidR="00014B20">
        <w:rPr>
          <w:b/>
          <w:bCs/>
          <w:lang w:val="en"/>
        </w:rPr>
        <w:t xml:space="preserve"> referrals for PACS where the patient has </w:t>
      </w:r>
      <w:r w:rsidR="00014B20">
        <w:rPr>
          <w:b/>
          <w:bCs/>
          <w:u w:val="single"/>
          <w:lang w:val="en"/>
        </w:rPr>
        <w:t>symptoms</w:t>
      </w:r>
      <w:r w:rsidR="00014B20">
        <w:rPr>
          <w:b/>
          <w:bCs/>
          <w:lang w:val="en"/>
        </w:rPr>
        <w:t xml:space="preserve"> consistent with primary angle closure (e.g. aching pain in or above the eye, intermittent blurring, rainbow haloes around lights, </w:t>
      </w:r>
      <w:proofErr w:type="spellStart"/>
      <w:r w:rsidR="00014B20">
        <w:rPr>
          <w:b/>
          <w:bCs/>
          <w:lang w:val="en"/>
        </w:rPr>
        <w:t>etc</w:t>
      </w:r>
      <w:proofErr w:type="spellEnd"/>
      <w:r w:rsidR="00014B20">
        <w:rPr>
          <w:b/>
          <w:bCs/>
          <w:lang w:val="en"/>
        </w:rPr>
        <w:t>).</w:t>
      </w:r>
      <w:bookmarkStart w:id="0" w:name="_GoBack"/>
      <w:bookmarkEnd w:id="0"/>
      <w:r w:rsidR="00D77A29">
        <w:rPr>
          <w:b/>
          <w:bCs/>
        </w:rPr>
        <w:br w:type="page"/>
      </w:r>
    </w:p>
    <w:p w14:paraId="10A08AAF" w14:textId="303C6527" w:rsidR="008E3D28" w:rsidRPr="00D77A29" w:rsidRDefault="008E3D28">
      <w:pPr>
        <w:rPr>
          <w:b/>
          <w:bCs/>
        </w:rPr>
      </w:pPr>
      <w:r w:rsidRPr="00D77A29">
        <w:rPr>
          <w:b/>
          <w:bCs/>
        </w:rPr>
        <w:lastRenderedPageBreak/>
        <w:t xml:space="preserve">References </w:t>
      </w:r>
    </w:p>
    <w:p w14:paraId="1C647B79" w14:textId="77777777" w:rsidR="008E3D28" w:rsidRPr="00CD5DC9" w:rsidRDefault="008E3D28" w:rsidP="008E3D28">
      <w:pPr>
        <w:pStyle w:val="ListParagraph"/>
        <w:numPr>
          <w:ilvl w:val="0"/>
          <w:numId w:val="2"/>
        </w:numPr>
        <w:spacing w:before="120"/>
        <w:ind w:left="357" w:hanging="357"/>
        <w:contextualSpacing w:val="0"/>
        <w:rPr>
          <w:rFonts w:cs="Arial"/>
        </w:rPr>
      </w:pPr>
      <w:r w:rsidRPr="00692F36">
        <w:t xml:space="preserve">Royal College of Ophthalmologists Guideline on the Management of Angle Closure Glaucoma 24/06/2022  </w:t>
      </w:r>
      <w:hyperlink r:id="rId7" w:history="1">
        <w:r w:rsidRPr="0083509D">
          <w:rPr>
            <w:rStyle w:val="Hyperlink"/>
          </w:rPr>
          <w:t>www.rcophth.ac.uk/resources-listing/management-of-angle-closure-glaucoma-guideline/</w:t>
        </w:r>
      </w:hyperlink>
      <w:r>
        <w:rPr>
          <w:color w:val="00B0F0"/>
        </w:rPr>
        <w:t xml:space="preserve"> </w:t>
      </w:r>
      <w:r w:rsidRPr="00692F36">
        <w:t>[Accessed 12/07/2022]</w:t>
      </w:r>
    </w:p>
    <w:p w14:paraId="55E1827C" w14:textId="77777777" w:rsidR="008E3D28" w:rsidRPr="00692F36" w:rsidRDefault="008E3D28" w:rsidP="008E3D28">
      <w:pPr>
        <w:pStyle w:val="ListParagraph"/>
        <w:numPr>
          <w:ilvl w:val="0"/>
          <w:numId w:val="2"/>
        </w:numPr>
        <w:spacing w:before="120"/>
        <w:ind w:left="357" w:hanging="357"/>
        <w:contextualSpacing w:val="0"/>
        <w:rPr>
          <w:rFonts w:cs="Arial"/>
        </w:rPr>
      </w:pPr>
      <w:r w:rsidRPr="00692F36">
        <w:t xml:space="preserve">College of Optometrists Clinical Management Guidelines on Primary Angle Closure / Primary Angle Closure Glaucoma. Updated 27/06/2022: </w:t>
      </w:r>
    </w:p>
    <w:p w14:paraId="4757AB5C" w14:textId="77777777" w:rsidR="008E3D28" w:rsidRPr="00692F36" w:rsidRDefault="00FC7616" w:rsidP="008E3D28">
      <w:pPr>
        <w:pStyle w:val="ListParagraph"/>
        <w:spacing w:before="120"/>
        <w:ind w:left="357"/>
        <w:contextualSpacing w:val="0"/>
        <w:rPr>
          <w:rFonts w:cs="Arial"/>
        </w:rPr>
      </w:pPr>
      <w:hyperlink r:id="rId8" w:history="1">
        <w:r w:rsidR="008E3D28" w:rsidRPr="0083509D">
          <w:rPr>
            <w:rStyle w:val="Hyperlink"/>
          </w:rPr>
          <w:t>www.college-optometrists.org/clinical-guidance/clinical-management-guidelines/primaryangleclosure_primaryangleclosureglaucoma_pa</w:t>
        </w:r>
      </w:hyperlink>
      <w:r w:rsidR="008E3D28" w:rsidRPr="00CD5DC9">
        <w:rPr>
          <w:color w:val="00B0F0"/>
        </w:rPr>
        <w:t xml:space="preserve"> </w:t>
      </w:r>
      <w:r w:rsidR="008E3D28" w:rsidRPr="00692F36">
        <w:t xml:space="preserve"> [Accessed 12/07/2022]</w:t>
      </w:r>
    </w:p>
    <w:p w14:paraId="7455D8A1" w14:textId="1FE49937" w:rsidR="008E3D28" w:rsidRDefault="008E3D28"/>
    <w:p w14:paraId="7177F3EF" w14:textId="1A76B414" w:rsidR="00D77A29" w:rsidRDefault="00D77A29" w:rsidP="00D77A29">
      <w:pPr>
        <w:spacing w:after="120" w:line="276" w:lineRule="auto"/>
      </w:pPr>
      <w:r w:rsidRPr="00D77A29">
        <w:rPr>
          <w:b/>
          <w:bCs/>
        </w:rPr>
        <w:t>Abbreviations</w:t>
      </w:r>
    </w:p>
    <w:p w14:paraId="6475C2F7" w14:textId="2592BA6C" w:rsidR="00D77A29" w:rsidRDefault="00D77A29">
      <w:r>
        <w:t>NNUH</w:t>
      </w:r>
      <w:r>
        <w:tab/>
      </w:r>
      <w:r>
        <w:tab/>
        <w:t>Norfolk &amp; Norwich University Hospital NHS Foundation Trust</w:t>
      </w:r>
    </w:p>
    <w:p w14:paraId="2D19D9A7" w14:textId="43BD3A6F" w:rsidR="00D77A29" w:rsidRDefault="00D77A29">
      <w:r>
        <w:t>JPH</w:t>
      </w:r>
      <w:r>
        <w:tab/>
      </w:r>
      <w:r>
        <w:tab/>
        <w:t>James Paget University Hospital NHS Foundation Trust</w:t>
      </w:r>
    </w:p>
    <w:p w14:paraId="21D23E04" w14:textId="3AF55994" w:rsidR="00D77A29" w:rsidRDefault="00D77A29">
      <w:r>
        <w:t>QEH</w:t>
      </w:r>
      <w:r>
        <w:tab/>
      </w:r>
      <w:r>
        <w:tab/>
        <w:t>Queen Elizabeth Hospital Kings Lynn NHS Foundation Trust</w:t>
      </w:r>
    </w:p>
    <w:p w14:paraId="717A479F" w14:textId="216DC3BE" w:rsidR="00E844C4" w:rsidRDefault="00E844C4">
      <w:r>
        <w:t>PAS</w:t>
      </w:r>
      <w:r>
        <w:tab/>
      </w:r>
      <w:r>
        <w:tab/>
        <w:t>Peripheral Anterior Synechia</w:t>
      </w:r>
    </w:p>
    <w:p w14:paraId="0AFB04B4" w14:textId="5C1BE007" w:rsidR="00E844C4" w:rsidRDefault="00E844C4">
      <w:r>
        <w:t>OCT</w:t>
      </w:r>
      <w:r>
        <w:tab/>
      </w:r>
      <w:r>
        <w:tab/>
        <w:t>Optical Coherence Tomography</w:t>
      </w:r>
    </w:p>
    <w:p w14:paraId="5FA27563" w14:textId="6AC7D542" w:rsidR="00D77A29" w:rsidRDefault="00D77A29"/>
    <w:p w14:paraId="0F4D397E" w14:textId="20A35BA3" w:rsidR="00D77A29" w:rsidRDefault="00D77A29"/>
    <w:tbl>
      <w:tblPr>
        <w:tblStyle w:val="TableGrid"/>
        <w:tblW w:w="0" w:type="auto"/>
        <w:tblLook w:val="04A0" w:firstRow="1" w:lastRow="0" w:firstColumn="1" w:lastColumn="0" w:noHBand="0" w:noVBand="1"/>
      </w:tblPr>
      <w:tblGrid>
        <w:gridCol w:w="1809"/>
        <w:gridCol w:w="7433"/>
      </w:tblGrid>
      <w:tr w:rsidR="00D77A29" w14:paraId="3E2863F4" w14:textId="77777777" w:rsidTr="00D77A29">
        <w:tc>
          <w:tcPr>
            <w:tcW w:w="1809" w:type="dxa"/>
          </w:tcPr>
          <w:p w14:paraId="39FDA743" w14:textId="024388DE" w:rsidR="00D77A29" w:rsidRPr="00D77A29" w:rsidRDefault="00D77A29" w:rsidP="00307A6E">
            <w:pPr>
              <w:spacing w:before="40" w:after="40"/>
              <w:rPr>
                <w:b/>
                <w:bCs/>
              </w:rPr>
            </w:pPr>
            <w:r w:rsidRPr="00D77A29">
              <w:rPr>
                <w:b/>
                <w:bCs/>
              </w:rPr>
              <w:t>Author</w:t>
            </w:r>
          </w:p>
        </w:tc>
        <w:tc>
          <w:tcPr>
            <w:tcW w:w="7433" w:type="dxa"/>
          </w:tcPr>
          <w:p w14:paraId="53069253" w14:textId="59BE670E" w:rsidR="00D77A29" w:rsidRDefault="00D77A29" w:rsidP="00307A6E">
            <w:pPr>
              <w:spacing w:before="40" w:after="40"/>
            </w:pPr>
            <w:r>
              <w:t>Dr Dan Rosser, Principal Optometrist, NNUH</w:t>
            </w:r>
          </w:p>
        </w:tc>
      </w:tr>
      <w:tr w:rsidR="00D77A29" w14:paraId="6F6E0ABF" w14:textId="77777777" w:rsidTr="00D77A29">
        <w:tc>
          <w:tcPr>
            <w:tcW w:w="1809" w:type="dxa"/>
          </w:tcPr>
          <w:p w14:paraId="2E8F4D66" w14:textId="0DD5599A" w:rsidR="00D77A29" w:rsidRPr="00D77A29" w:rsidRDefault="00D77A29" w:rsidP="00307A6E">
            <w:pPr>
              <w:spacing w:before="40" w:after="40"/>
              <w:rPr>
                <w:b/>
                <w:bCs/>
              </w:rPr>
            </w:pPr>
            <w:r w:rsidRPr="00D77A29">
              <w:rPr>
                <w:b/>
                <w:bCs/>
              </w:rPr>
              <w:t>Supported by</w:t>
            </w:r>
          </w:p>
        </w:tc>
        <w:tc>
          <w:tcPr>
            <w:tcW w:w="7433" w:type="dxa"/>
          </w:tcPr>
          <w:p w14:paraId="59405F0C" w14:textId="77777777" w:rsidR="00CD0722" w:rsidRDefault="00CD0722" w:rsidP="00307A6E">
            <w:pPr>
              <w:spacing w:before="40" w:after="40"/>
            </w:pPr>
            <w:r>
              <w:t>Prof David Broadway, Consultant Ophthalmologist, NNUH</w:t>
            </w:r>
          </w:p>
          <w:p w14:paraId="158B3471" w14:textId="77777777" w:rsidR="00CD0722" w:rsidRDefault="00CD0722" w:rsidP="00307A6E">
            <w:pPr>
              <w:spacing w:before="40" w:after="40"/>
            </w:pPr>
            <w:r>
              <w:t>Mr Stephen Byard, Consultant Ophthalmologist, QEH</w:t>
            </w:r>
          </w:p>
          <w:p w14:paraId="186787CE" w14:textId="77777777" w:rsidR="00CD0722" w:rsidRDefault="00CD0722" w:rsidP="00307A6E">
            <w:pPr>
              <w:spacing w:before="40" w:after="40"/>
            </w:pPr>
            <w:r>
              <w:t>Mr Tom Eke, Consultant Ophthalmologist, NNUH</w:t>
            </w:r>
          </w:p>
          <w:p w14:paraId="56D19884" w14:textId="77777777" w:rsidR="00CD0722" w:rsidRDefault="00CD0722" w:rsidP="00307A6E">
            <w:pPr>
              <w:spacing w:before="40" w:after="40"/>
            </w:pPr>
            <w:r>
              <w:t>Mr Nuwan Niyadurupola, Consultant Ophthalmologist, NNUH</w:t>
            </w:r>
          </w:p>
          <w:p w14:paraId="4A992004" w14:textId="1EA2A7B0" w:rsidR="00D77A29" w:rsidRDefault="00CD0722" w:rsidP="00307A6E">
            <w:pPr>
              <w:spacing w:before="40" w:after="40"/>
            </w:pPr>
            <w:r>
              <w:t xml:space="preserve">Mr </w:t>
            </w:r>
            <w:proofErr w:type="spellStart"/>
            <w:r>
              <w:t>Avinash</w:t>
            </w:r>
            <w:proofErr w:type="spellEnd"/>
            <w:r>
              <w:t xml:space="preserve"> </w:t>
            </w:r>
            <w:proofErr w:type="spellStart"/>
            <w:r>
              <w:t>Prabhu</w:t>
            </w:r>
            <w:proofErr w:type="spellEnd"/>
            <w:r>
              <w:t>, Consultant Ophthalmologist, JPH</w:t>
            </w:r>
          </w:p>
        </w:tc>
      </w:tr>
    </w:tbl>
    <w:p w14:paraId="35FF2CEB" w14:textId="181864A5" w:rsidR="00D77A29" w:rsidRDefault="00D77A29" w:rsidP="00522F90"/>
    <w:sectPr w:rsidR="00D77A29" w:rsidSect="00FC7616">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641F"/>
    <w:multiLevelType w:val="multilevel"/>
    <w:tmpl w:val="97E6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F263C"/>
    <w:multiLevelType w:val="hybridMultilevel"/>
    <w:tmpl w:val="7538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1E"/>
    <w:rsid w:val="00014B20"/>
    <w:rsid w:val="0003631E"/>
    <w:rsid w:val="00203E67"/>
    <w:rsid w:val="00307A6E"/>
    <w:rsid w:val="00522F90"/>
    <w:rsid w:val="00543859"/>
    <w:rsid w:val="005803EB"/>
    <w:rsid w:val="00705527"/>
    <w:rsid w:val="008E3D28"/>
    <w:rsid w:val="00CD0722"/>
    <w:rsid w:val="00D77A29"/>
    <w:rsid w:val="00E844C4"/>
    <w:rsid w:val="00EE3474"/>
    <w:rsid w:val="00F90E16"/>
    <w:rsid w:val="00FC7616"/>
    <w:rsid w:val="00FF0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2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D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E3D28"/>
    <w:rPr>
      <w:color w:val="0000FF" w:themeColor="hyperlink"/>
      <w:u w:val="single"/>
    </w:rPr>
  </w:style>
  <w:style w:type="paragraph" w:styleId="ListParagraph">
    <w:name w:val="List Paragraph"/>
    <w:basedOn w:val="Normal"/>
    <w:uiPriority w:val="34"/>
    <w:qFormat/>
    <w:rsid w:val="008E3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2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D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E3D28"/>
    <w:rPr>
      <w:color w:val="0000FF" w:themeColor="hyperlink"/>
      <w:u w:val="single"/>
    </w:rPr>
  </w:style>
  <w:style w:type="paragraph" w:styleId="ListParagraph">
    <w:name w:val="List Paragraph"/>
    <w:basedOn w:val="Normal"/>
    <w:uiPriority w:val="34"/>
    <w:qFormat/>
    <w:rsid w:val="008E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optometrists.org/clinical-guidance/clinical-management-guidelines/primaryangleclosure_primaryangleclosureglaucoma_pa" TargetMode="External"/><Relationship Id="rId3" Type="http://schemas.microsoft.com/office/2007/relationships/stylesWithEffects" Target="stylesWithEffects.xml"/><Relationship Id="rId7" Type="http://schemas.openxmlformats.org/officeDocument/2006/relationships/hyperlink" Target="http://www.rcophth.ac.uk/resources-listing/management-of-angle-closure-glaucoma-guide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bcal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NNUH</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Rosser, Dan (NNUHFT)</dc:creator>
  <cp:keywords/>
  <dc:description/>
  <cp:lastModifiedBy>Peter Hutchinson</cp:lastModifiedBy>
  <cp:revision>5</cp:revision>
  <dcterms:created xsi:type="dcterms:W3CDTF">2022-08-18T07:42:00Z</dcterms:created>
  <dcterms:modified xsi:type="dcterms:W3CDTF">2022-08-18T08:31:00Z</dcterms:modified>
</cp:coreProperties>
</file>